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41C04713" w14:textId="77777777" w:rsidR="00F043D9" w:rsidRDefault="00F043D9" w:rsidP="00F043D9">
      <w:pPr>
        <w:pStyle w:val="Standard"/>
        <w:framePr w:wrap="aroun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4472C4" w:themeColor="accent1"/>
          <w:szCs w:val="20"/>
        </w:rPr>
        <w:t>CNRS Délégation Régionale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7"/>
      </w:tblGrid>
      <w:tr w:rsidR="00C15AF8" w14:paraId="075760C4" w14:textId="77777777" w:rsidTr="00C15AF8">
        <w:trPr>
          <w:trHeight w:val="1743"/>
          <w:jc w:val="center"/>
        </w:trPr>
        <w:tc>
          <w:tcPr>
            <w:tcW w:w="9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C29193" w14:textId="63BBEDF0" w:rsidR="00C15AF8" w:rsidRDefault="00C15AF8" w:rsidP="00C15AF8">
            <w:pPr>
              <w:pStyle w:val="TableContents"/>
              <w:framePr w:wrap="around"/>
              <w:jc w:val="center"/>
            </w:pPr>
            <w:r w:rsidRPr="00F043D9">
              <w:rPr>
                <w:rFonts w:eastAsia="simsun, 宋体" w:cs="Arial"/>
                <w:b/>
                <w:color w:val="5B9BD5" w:themeColor="accent5"/>
                <w:kern w:val="0"/>
                <w:sz w:val="44"/>
                <w:szCs w:val="44"/>
                <w:shd w:val="clear" w:color="auto" w:fill="FFFFFF"/>
                <w:lang w:eastAsia="zh-CN" w:bidi="ar-SA"/>
              </w:rPr>
              <w:t>ACTE D’ENGAGEMENT (AE)</w:t>
            </w: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C219E57" w14:textId="77777777" w:rsidR="00C15AF8" w:rsidRDefault="00C15AF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049B54" w14:textId="77777777" w:rsidR="00C15AF8" w:rsidRDefault="00C15AF8" w:rsidP="00C15AF8">
      <w:pPr>
        <w:pStyle w:val="Standard"/>
        <w:framePr w:wrap="aroun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Numéro de la consultation :</w:t>
      </w:r>
      <w:r>
        <w:rPr>
          <w:rFonts w:cs="Arial"/>
          <w:color w:val="4472C4" w:themeColor="accent1"/>
          <w:szCs w:val="20"/>
        </w:rPr>
        <w:t xml:space="preserve"> 202501080831</w:t>
      </w:r>
    </w:p>
    <w:p w14:paraId="0FC88205" w14:textId="77777777" w:rsidR="00C15AF8" w:rsidRDefault="00C15AF8" w:rsidP="00C15AF8">
      <w:pPr>
        <w:pStyle w:val="Standard"/>
        <w:framePr w:wrap="around"/>
        <w:tabs>
          <w:tab w:val="left" w:pos="3600"/>
        </w:tabs>
        <w:ind w:left="3600" w:hanging="3600"/>
        <w:rPr>
          <w:color w:val="000000"/>
          <w:szCs w:val="20"/>
        </w:rPr>
      </w:pPr>
    </w:p>
    <w:p w14:paraId="11C7DBD5" w14:textId="77777777" w:rsidR="00C15AF8" w:rsidRDefault="00C15AF8" w:rsidP="00C15AF8">
      <w:pPr>
        <w:pStyle w:val="Standard"/>
        <w:framePr w:wrap="around"/>
        <w:rPr>
          <w:rFonts w:cs="Arial"/>
          <w:color w:val="000000"/>
          <w:szCs w:val="20"/>
        </w:rPr>
      </w:pPr>
    </w:p>
    <w:p w14:paraId="3B4926AA" w14:textId="77777777" w:rsidR="00C15AF8" w:rsidRDefault="00C15AF8" w:rsidP="00C15AF8">
      <w:pPr>
        <w:pStyle w:val="Standard"/>
        <w:framePr w:wrap="around"/>
        <w:rPr>
          <w:rFonts w:cs="Arial"/>
          <w:color w:val="4472C4" w:themeColor="accent1"/>
          <w:szCs w:val="20"/>
        </w:rPr>
      </w:pPr>
      <w:r>
        <w:rPr>
          <w:rFonts w:cs="Arial"/>
          <w:b/>
          <w:color w:val="000000"/>
          <w:szCs w:val="20"/>
          <w:u w:val="single"/>
        </w:rPr>
        <w:t>Objet de la consultation :</w:t>
      </w:r>
      <w:r>
        <w:rPr>
          <w:rFonts w:cs="Arial"/>
          <w:color w:val="4472C4" w:themeColor="accent1"/>
          <w:szCs w:val="20"/>
        </w:rPr>
        <w:t xml:space="preserve"> F</w:t>
      </w:r>
      <w:r w:rsidRPr="004F2805">
        <w:rPr>
          <w:rFonts w:cs="Arial"/>
          <w:color w:val="4472C4" w:themeColor="accent1"/>
          <w:szCs w:val="20"/>
        </w:rPr>
        <w:t>ourniture d’un spectromètre d’absorption x de laboratoire ne nécessitant pas une source de rayonnement synchrotron</w:t>
      </w:r>
      <w:r>
        <w:rPr>
          <w:rFonts w:cs="Arial"/>
          <w:color w:val="4472C4" w:themeColor="accent1"/>
          <w:szCs w:val="20"/>
        </w:rPr>
        <w:t>.</w:t>
      </w:r>
    </w:p>
    <w:p w14:paraId="205764BC" w14:textId="77777777" w:rsidR="00C15AF8" w:rsidRDefault="00C15AF8" w:rsidP="00C15AF8">
      <w:pPr>
        <w:pStyle w:val="Standard"/>
        <w:framePr w:wrap="around"/>
        <w:rPr>
          <w:rFonts w:cs="Arial"/>
          <w:color w:val="4472C4" w:themeColor="accent1"/>
          <w:szCs w:val="20"/>
        </w:rPr>
      </w:pPr>
    </w:p>
    <w:p w14:paraId="76361373" w14:textId="77777777" w:rsidR="00C15AF8" w:rsidRDefault="00C15AF8" w:rsidP="00C15AF8">
      <w:pPr>
        <w:pStyle w:val="Standard"/>
        <w:framePr w:wrap="around"/>
        <w:rPr>
          <w:color w:val="000000"/>
          <w:szCs w:val="20"/>
        </w:rPr>
      </w:pPr>
    </w:p>
    <w:p w14:paraId="0C7C08AC" w14:textId="77777777" w:rsidR="00C15AF8" w:rsidRPr="00186C3B" w:rsidRDefault="00C15AF8" w:rsidP="00C15AF8">
      <w:pPr>
        <w:framePr w:hSpace="141" w:wrap="around" w:vAnchor="text" w:hAnchor="margin" w:y="196"/>
        <w:rPr>
          <w:vanish/>
          <w:specVanish/>
        </w:rPr>
      </w:pPr>
      <w:r w:rsidRPr="00C15AF8">
        <w:rPr>
          <w:rFonts w:ascii="Arial" w:eastAsia="Andale Sans UI" w:hAnsi="Arial" w:cs="Arial"/>
          <w:b/>
          <w:color w:val="000000"/>
          <w:kern w:val="3"/>
          <w:sz w:val="20"/>
          <w:szCs w:val="20"/>
          <w:u w:val="single"/>
          <w:lang w:eastAsia="ja-JP" w:bidi="fa-IR"/>
        </w:rPr>
        <w:t>Procédure de passation :</w:t>
      </w:r>
      <w:r>
        <w:rPr>
          <w:rFonts w:cs="Arial"/>
          <w:color w:val="4472C4" w:themeColor="accent1"/>
          <w:szCs w:val="20"/>
        </w:rPr>
        <w:t xml:space="preserve"> </w:t>
      </w:r>
      <w:r w:rsidRPr="00C15AF8">
        <w:rPr>
          <w:rFonts w:ascii="Arial" w:eastAsia="Andale Sans UI" w:hAnsi="Arial" w:cs="Arial"/>
          <w:color w:val="4472C4" w:themeColor="accent1"/>
          <w:kern w:val="3"/>
          <w:sz w:val="20"/>
          <w:szCs w:val="20"/>
          <w:lang w:eastAsia="ja-JP" w:bidi="fa-IR"/>
        </w:rPr>
        <w:t>Appel d'offres ouvert</w:t>
      </w:r>
    </w:p>
    <w:p w14:paraId="09A4DA75" w14:textId="6FDB10B3" w:rsidR="00F043D9" w:rsidRDefault="00F043D9" w:rsidP="00F043D9">
      <w:pPr>
        <w:pStyle w:val="Standard"/>
        <w:framePr w:wrap="around"/>
        <w:rPr>
          <w:color w:val="000000"/>
          <w:szCs w:val="20"/>
        </w:rPr>
      </w:pPr>
    </w:p>
    <w:p w14:paraId="145D7194" w14:textId="77777777" w:rsidR="00F043D9" w:rsidRDefault="00F043D9" w:rsidP="00F043D9">
      <w:pPr>
        <w:pStyle w:val="Standard"/>
        <w:framePr w:wrap="aroun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2BA34930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AB345B" w:rsidRPr="00152329">
          <w:rPr>
            <w:rStyle w:val="Lienhypertexte"/>
          </w:rPr>
          <w:t>dr18.liste.poleachats@cnrs.fr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3B9092D8" w:rsidR="007D3B67" w:rsidRPr="001F568B" w:rsidRDefault="00600681" w:rsidP="003D247B">
      <w:pPr>
        <w:pStyle w:val="Standard"/>
        <w:framePr w:wrap="around"/>
      </w:pPr>
      <w:r>
        <w:t>Intitulé</w:t>
      </w:r>
      <w:r w:rsidR="00B9290C" w:rsidRPr="001F568B">
        <w:t xml:space="preserve"> de la consultation</w:t>
      </w:r>
      <w:r w:rsidR="00975AA7" w:rsidRPr="001F568B">
        <w:t xml:space="preserve"> : </w:t>
      </w:r>
    </w:p>
    <w:p w14:paraId="636736FB" w14:textId="77777777" w:rsidR="00C15AF8" w:rsidRDefault="00AB345B" w:rsidP="003D247B">
      <w:pPr>
        <w:pStyle w:val="Standard"/>
        <w:framePr w:wrap="around"/>
      </w:pPr>
      <w:r>
        <w:t>202</w:t>
      </w:r>
      <w:r w:rsidR="00C15AF8">
        <w:t>501080831</w:t>
      </w:r>
      <w:r>
        <w:t xml:space="preserve"> : </w:t>
      </w:r>
      <w:bookmarkStart w:id="0" w:name="_Hlk186459279"/>
      <w:r w:rsidR="00C15AF8" w:rsidRPr="00C15AF8">
        <w:t xml:space="preserve">Fourniture d’un spectromètre d’absorption x de laboratoire ne nécessitant pas une source de rayonnement synchrotron </w:t>
      </w:r>
    </w:p>
    <w:bookmarkEnd w:id="0"/>
    <w:p w14:paraId="28EC97F1" w14:textId="77777777" w:rsidR="00467502" w:rsidRPr="00B43570" w:rsidRDefault="0046750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3F680DDC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 xml:space="preserve">Marché </w:t>
      </w:r>
      <w:r w:rsidRPr="00F043D9">
        <w:t xml:space="preserve">ordinaire </w:t>
      </w:r>
      <w:r w:rsidRPr="00975AA7">
        <w:t>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15E898ED" w14:textId="77777777" w:rsidR="00C2348B" w:rsidRDefault="00C2348B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5763367A" w14:textId="77777777" w:rsidR="00C34289" w:rsidRDefault="00C34289" w:rsidP="00C34289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6154F7C" w14:textId="3CBB28D5" w:rsidR="0078204F" w:rsidRDefault="0078204F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PRESTATIONS SUPPLEMENTAIRES EVENTUELLES </w:t>
      </w:r>
      <w:r w:rsidR="00BC792B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FACULTATIVES 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(PSE)</w:t>
      </w:r>
    </w:p>
    <w:tbl>
      <w:tblPr>
        <w:tblpPr w:leftFromText="141" w:rightFromText="141" w:vertAnchor="text" w:horzAnchor="margin" w:tblpY="61"/>
        <w:tblW w:w="9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1276"/>
        <w:gridCol w:w="850"/>
        <w:gridCol w:w="1843"/>
        <w:gridCol w:w="1134"/>
      </w:tblGrid>
      <w:tr w:rsidR="0078204F" w14:paraId="2E8BF0EF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E7ED7D" w14:textId="1260BBFE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PSE n°1 : </w:t>
            </w:r>
            <w:r w:rsidR="004B7985"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Porte-échantillon pour solutions aqueuses : dispositif dédié à</w:t>
            </w:r>
            <w:r w:rsidR="004B7985"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br/>
              <w:t>l’enregistrement des solutions aqueuses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8EA629" w14:textId="77777777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E8FAE6D" w14:textId="622CD088" w:rsidR="0078204F" w:rsidRPr="007D3B67" w:rsidRDefault="0078204F" w:rsidP="00BC792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BC792B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430C45E" w14:textId="77777777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892CE4" w14:textId="68F5CD9B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78204F" w14:paraId="40CD4509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A6CCF3" w14:textId="02245B98" w:rsidR="0078204F" w:rsidRPr="007D3B67" w:rsidRDefault="0078204F" w:rsidP="004B798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PSE n°</w:t>
            </w:r>
            <w:r w:rsid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4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 : </w:t>
            </w:r>
            <w:r w:rsid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E</w:t>
            </w:r>
            <w:r w:rsidR="004B7985"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xtension de garantie à deux</w:t>
            </w:r>
            <w:r w:rsidR="004B7985"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br/>
              <w:t>(2) années supplémentaires sur les détecteurs, la source de rayons X et les cristaux</w:t>
            </w:r>
            <w:r w:rsid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4B7985"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analyseurs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BC60C5B" w14:textId="458513F5" w:rsidR="0078204F" w:rsidRPr="007D3B67" w:rsidRDefault="0078204F" w:rsidP="0078204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39C7E" w14:textId="644C04B7" w:rsidR="0078204F" w:rsidRPr="007D3B67" w:rsidRDefault="00BC792B" w:rsidP="00BC792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71DF5562" w14:textId="77777777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7D4FBD0" w14:textId="53D967B3" w:rsidR="0078204F" w:rsidRPr="007D3B67" w:rsidRDefault="0078204F" w:rsidP="005D1E5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TTC</w:t>
            </w:r>
          </w:p>
        </w:tc>
      </w:tr>
    </w:tbl>
    <w:p w14:paraId="01CC0FF8" w14:textId="0C8D4E2D" w:rsidR="0078204F" w:rsidRDefault="0078204F" w:rsidP="0078204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1E7A23A" w14:textId="3311D008" w:rsidR="004B7985" w:rsidRDefault="004B798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PRESTATIONS SUPPLEMENTAIRES EVENTUELLES 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OBLIGATOIRES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(PSE)</w:t>
      </w:r>
    </w:p>
    <w:tbl>
      <w:tblPr>
        <w:tblpPr w:leftFromText="141" w:rightFromText="141" w:vertAnchor="text" w:horzAnchor="margin" w:tblpY="61"/>
        <w:tblW w:w="93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1276"/>
        <w:gridCol w:w="850"/>
        <w:gridCol w:w="1843"/>
        <w:gridCol w:w="1134"/>
      </w:tblGrid>
      <w:tr w:rsidR="004B7985" w14:paraId="152D45D5" w14:textId="77777777" w:rsidTr="00AF41A3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5F47E21" w14:textId="4A2CF0E0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PSE n°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 :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Cellule de mesure in situ permettant l’enregistrement (en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fluorescence ou en transmission) de spectres sous flux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contrôlé de gaz à des températures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allant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jusqu’à 400°C à minima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F9776A1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0AED2A2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2DD36A05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296FB24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4B7985" w14:paraId="4D4B218F" w14:textId="77777777" w:rsidTr="00AF41A3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4DCC73C" w14:textId="5A8CAC4F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PSE n°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3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 :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Porte-échantillon refroidi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permettant l’enregistrement de spectres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XAS à basse température (Température inférieure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ou égale à 80 K) avec son système de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refroidissement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24D40DE2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6255CB5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12628225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827789E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TTC</w:t>
            </w:r>
          </w:p>
        </w:tc>
      </w:tr>
      <w:tr w:rsidR="004B7985" w14:paraId="334E4DC9" w14:textId="77777777" w:rsidTr="00AF41A3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4F380AD" w14:textId="6F3CDCA7" w:rsidR="004B7985" w:rsidRDefault="004B7985" w:rsidP="004B798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PSE n°5: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U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n contrat de maintenance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niveau standard d’une durée totale de dix (10) ans à compter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à compter de la date de mise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en service de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4B7985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l’instrument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C9C3D06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0DDD04B" w14:textId="4AF76F5E" w:rsidR="004B7985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HT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88CA12A" w14:textId="77777777" w:rsidR="004B7985" w:rsidRPr="007D3B67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60FB2E1" w14:textId="6721AD2A" w:rsidR="004B7985" w:rsidRDefault="004B7985" w:rsidP="00AF41A3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 TTC</w:t>
            </w:r>
          </w:p>
        </w:tc>
      </w:tr>
    </w:tbl>
    <w:p w14:paraId="1E3EFFCA" w14:textId="77777777" w:rsidR="004B7985" w:rsidRDefault="004B7985" w:rsidP="0078204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0DFF94C" w14:textId="0A1A17E1" w:rsidR="004B7985" w:rsidRPr="004B7985" w:rsidRDefault="004B7985" w:rsidP="0078204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4B7985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La réponse aux prestations supplémentaires éventuelles n°2, 3 et 5 est obligatoire.</w:t>
      </w:r>
      <w:r w:rsidRPr="004B7985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br/>
        <w:t xml:space="preserve">Faute de réponse du candidat à 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ces</w:t>
      </w:r>
      <w:r w:rsidRPr="004B7985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prestations supplémentaires éventuelles, son offre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</w:t>
      </w:r>
      <w:r w:rsidRPr="004B7985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sera éliminée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.</w:t>
      </w:r>
    </w:p>
    <w:p w14:paraId="23FCC6DB" w14:textId="153C5184" w:rsidR="00A52779" w:rsidRDefault="00A52779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460FFD55" w14:textId="77777777" w:rsidR="0078204F" w:rsidRDefault="0078204F" w:rsidP="0078204F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5F825575" w:rsidR="007D3B67" w:rsidRDefault="007D3B67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3055"/>
        <w:gridCol w:w="2053"/>
      </w:tblGrid>
      <w:tr w:rsidR="007D3B67" w14:paraId="4E93AFD1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0C38B4E3" w:rsidR="007D3B67" w:rsidRPr="00464355" w:rsidRDefault="00602D92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E23E5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C792B">
              <w:rPr>
                <w:rFonts w:ascii="Arial" w:hAnsi="Arial" w:cs="Arial"/>
                <w:sz w:val="14"/>
                <w:szCs w:val="14"/>
              </w:rPr>
              <w:t>mois</w:t>
            </w:r>
            <w:r>
              <w:rPr>
                <w:rFonts w:ascii="Arial" w:hAnsi="Arial" w:cs="Arial"/>
                <w:sz w:val="14"/>
                <w:szCs w:val="14"/>
              </w:rPr>
              <w:t xml:space="preserve"> à compter de la notification</w:t>
            </w:r>
          </w:p>
        </w:tc>
      </w:tr>
      <w:tr w:rsidR="00464355" w14:paraId="757C6275" w14:textId="77777777" w:rsidTr="00C15AF8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7389DB" w14:textId="67B2A0BF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A52779">
              <w:rPr>
                <w:rFonts w:ascii="Arial" w:hAnsi="Arial" w:cs="Arial"/>
                <w:sz w:val="14"/>
                <w:szCs w:val="14"/>
              </w:rPr>
              <w:t>2</w:t>
            </w:r>
            <w:r w:rsidR="00E23E59">
              <w:rPr>
                <w:rFonts w:ascii="Arial" w:hAnsi="Arial" w:cs="Arial"/>
                <w:sz w:val="14"/>
                <w:szCs w:val="14"/>
              </w:rPr>
              <w:t xml:space="preserve"> mois</w:t>
            </w:r>
            <w:r w:rsidR="00BC792B">
              <w:rPr>
                <w:rFonts w:ascii="Arial" w:hAnsi="Arial" w:cs="Arial"/>
                <w:sz w:val="14"/>
                <w:szCs w:val="14"/>
              </w:rPr>
              <w:t xml:space="preserve"> à compter de la livraison sur le site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3055"/>
        <w:gridCol w:w="2053"/>
      </w:tblGrid>
      <w:tr w:rsidR="00EA03F4" w14:paraId="21EB9191" w14:textId="77777777" w:rsidTr="00C12AE6">
        <w:tc>
          <w:tcPr>
            <w:tcW w:w="42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30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326D8006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A5277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360F166B" w14:textId="504D6BC5" w:rsidR="003D654D" w:rsidRDefault="003D654D" w:rsidP="00A52779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500F0EAC" w14:textId="77777777" w:rsidR="00A52779" w:rsidRPr="003D654D" w:rsidRDefault="00A52779" w:rsidP="00A52779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E752B4C" w14:textId="77777777" w:rsidR="007D3B67" w:rsidRDefault="007D3B67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17643E4" w14:textId="77777777" w:rsidR="00A52779" w:rsidRDefault="00A52779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5B918F1" w:rsidR="00A52779" w:rsidRDefault="00A52779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8FEC80A" w14:textId="77777777" w:rsidR="00A52779" w:rsidRDefault="00A52779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06EE0EC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6365DA2E" w14:textId="08ABDB44" w:rsidR="00A52779" w:rsidRDefault="00A52779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40783BD" w14:textId="77777777" w:rsidR="00A52779" w:rsidRDefault="00A52779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45632C6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B79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3A5AABC7" w:rsidR="00BC792B" w:rsidRPr="00B9290C" w:rsidRDefault="00326F51" w:rsidP="00B9290C">
            <w:r w:rsidRPr="00B9290C">
              <w:t>LA SOLUTION DE BASE</w:t>
            </w:r>
            <w:r w:rsidR="007E368A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79E73A6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C792B" w:rsidRPr="00B9290C" w14:paraId="488270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487FC00A" w14:textId="77777777" w:rsidR="00BC792B" w:rsidRPr="00B9290C" w:rsidRDefault="00BC792B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F624B1C" w14:textId="6CC7D785" w:rsidR="00BC792B" w:rsidRDefault="00A52779" w:rsidP="00B9290C">
            <w:sdt>
              <w:sdtPr>
                <w:id w:val="-17774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45BF">
              <w:t>PSE n°1</w:t>
            </w:r>
            <w:r>
              <w:t xml:space="preserve">             </w:t>
            </w:r>
            <w:sdt>
              <w:sdtPr>
                <w:id w:val="167575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>
              <w:t>PSE n°2</w:t>
            </w:r>
          </w:p>
          <w:p w14:paraId="47D25BD4" w14:textId="70DEF802" w:rsidR="002C45BF" w:rsidRDefault="00A52779" w:rsidP="00B9290C">
            <w:sdt>
              <w:sdtPr>
                <w:id w:val="49284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5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C45BF">
              <w:t>PSE n°</w:t>
            </w:r>
            <w:r>
              <w:t xml:space="preserve">3             </w:t>
            </w:r>
            <w:sdt>
              <w:sdtPr>
                <w:id w:val="8465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PSE n°</w:t>
            </w:r>
            <w:r>
              <w:t>4</w:t>
            </w:r>
          </w:p>
          <w:p w14:paraId="67F7266F" w14:textId="2CEBAAD5" w:rsidR="00A52779" w:rsidRPr="00B9290C" w:rsidRDefault="00A52779" w:rsidP="00B9290C">
            <w:sdt>
              <w:sdtPr>
                <w:id w:val="39524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PSE n°</w:t>
            </w:r>
            <w:r>
              <w:t>5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F8A5242" w14:textId="5036B3F6" w:rsidR="00BC792B" w:rsidRDefault="002C45BF" w:rsidP="002F4E58">
            <w:pPr>
              <w:jc w:val="right"/>
            </w:pPr>
            <w:r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5B37230B" w:rsidR="00EA03F4" w:rsidRDefault="00EA03F4" w:rsidP="00B9290C">
            <w:r>
              <w:t>TOTAL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1B03D698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, 宋体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769E4F0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202</w:t>
          </w:r>
          <w:r w:rsidR="001E5FB5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412090935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pgNum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 xml:space="preserve"> / 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begin"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instrText>NUMPAGES</w:instrTex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separate"/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t>1</w:t>
          </w:r>
          <w:r w:rsidRPr="00F043D9">
            <w:rPr>
              <w:rFonts w:ascii="Arial" w:eastAsia="Andale Sans UI" w:hAnsi="Arial" w:cs="Tahoma"/>
              <w:color w:val="4472C4" w:themeColor="accent1"/>
              <w:sz w:val="18"/>
              <w:szCs w:val="24"/>
              <w:lang w:eastAsia="ja-JP" w:bidi="fa-IR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36474DB3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687CA185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42F2378"/>
    <w:multiLevelType w:val="hybridMultilevel"/>
    <w:tmpl w:val="6660FB04"/>
    <w:lvl w:ilvl="0" w:tplc="FFFFFFFF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77822C6A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104499">
    <w:abstractNumId w:val="0"/>
  </w:num>
  <w:num w:numId="2" w16cid:durableId="1662466186">
    <w:abstractNumId w:val="0"/>
  </w:num>
  <w:num w:numId="3" w16cid:durableId="854424259">
    <w:abstractNumId w:val="7"/>
  </w:num>
  <w:num w:numId="4" w16cid:durableId="637493301">
    <w:abstractNumId w:val="0"/>
  </w:num>
  <w:num w:numId="5" w16cid:durableId="1752963698">
    <w:abstractNumId w:val="0"/>
  </w:num>
  <w:num w:numId="6" w16cid:durableId="19817163">
    <w:abstractNumId w:val="8"/>
  </w:num>
  <w:num w:numId="7" w16cid:durableId="1677878323">
    <w:abstractNumId w:val="7"/>
  </w:num>
  <w:num w:numId="8" w16cid:durableId="30694467">
    <w:abstractNumId w:val="7"/>
  </w:num>
  <w:num w:numId="9" w16cid:durableId="384178999">
    <w:abstractNumId w:val="7"/>
  </w:num>
  <w:num w:numId="10" w16cid:durableId="604653074">
    <w:abstractNumId w:val="7"/>
  </w:num>
  <w:num w:numId="11" w16cid:durableId="393821902">
    <w:abstractNumId w:val="0"/>
  </w:num>
  <w:num w:numId="12" w16cid:durableId="1149204536">
    <w:abstractNumId w:val="0"/>
  </w:num>
  <w:num w:numId="13" w16cid:durableId="1436168672">
    <w:abstractNumId w:val="0"/>
  </w:num>
  <w:num w:numId="14" w16cid:durableId="1382554724">
    <w:abstractNumId w:val="7"/>
  </w:num>
  <w:num w:numId="15" w16cid:durableId="1738893362">
    <w:abstractNumId w:val="7"/>
  </w:num>
  <w:num w:numId="16" w16cid:durableId="283121686">
    <w:abstractNumId w:val="7"/>
  </w:num>
  <w:num w:numId="17" w16cid:durableId="122576923">
    <w:abstractNumId w:val="7"/>
  </w:num>
  <w:num w:numId="18" w16cid:durableId="852036739">
    <w:abstractNumId w:val="0"/>
  </w:num>
  <w:num w:numId="19" w16cid:durableId="1137917770">
    <w:abstractNumId w:val="0"/>
  </w:num>
  <w:num w:numId="20" w16cid:durableId="530652132">
    <w:abstractNumId w:val="7"/>
  </w:num>
  <w:num w:numId="21" w16cid:durableId="1676615354">
    <w:abstractNumId w:val="1"/>
  </w:num>
  <w:num w:numId="22" w16cid:durableId="116416081">
    <w:abstractNumId w:val="5"/>
  </w:num>
  <w:num w:numId="23" w16cid:durableId="517355080">
    <w:abstractNumId w:val="7"/>
  </w:num>
  <w:num w:numId="24" w16cid:durableId="580800899">
    <w:abstractNumId w:val="2"/>
  </w:num>
  <w:num w:numId="25" w16cid:durableId="1894392485">
    <w:abstractNumId w:val="7"/>
  </w:num>
  <w:num w:numId="26" w16cid:durableId="192428734">
    <w:abstractNumId w:val="4"/>
  </w:num>
  <w:num w:numId="27" w16cid:durableId="1237860777">
    <w:abstractNumId w:val="0"/>
  </w:num>
  <w:num w:numId="28" w16cid:durableId="905454459">
    <w:abstractNumId w:val="6"/>
  </w:num>
  <w:num w:numId="29" w16cid:durableId="1312909593">
    <w:abstractNumId w:val="9"/>
  </w:num>
  <w:num w:numId="30" w16cid:durableId="15830250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A43CF"/>
    <w:rsid w:val="000D2092"/>
    <w:rsid w:val="000E4F86"/>
    <w:rsid w:val="001525D6"/>
    <w:rsid w:val="001A1367"/>
    <w:rsid w:val="001B4A7A"/>
    <w:rsid w:val="001D0611"/>
    <w:rsid w:val="001E5FB5"/>
    <w:rsid w:val="001F568B"/>
    <w:rsid w:val="00210BCE"/>
    <w:rsid w:val="002374D1"/>
    <w:rsid w:val="00254E33"/>
    <w:rsid w:val="002A1C75"/>
    <w:rsid w:val="002C45BF"/>
    <w:rsid w:val="002F4E58"/>
    <w:rsid w:val="00326F51"/>
    <w:rsid w:val="00394D37"/>
    <w:rsid w:val="003D247B"/>
    <w:rsid w:val="003D654D"/>
    <w:rsid w:val="003E5DB4"/>
    <w:rsid w:val="00416897"/>
    <w:rsid w:val="00464355"/>
    <w:rsid w:val="00467502"/>
    <w:rsid w:val="00471468"/>
    <w:rsid w:val="00480922"/>
    <w:rsid w:val="004B7985"/>
    <w:rsid w:val="004C4CF4"/>
    <w:rsid w:val="004F4752"/>
    <w:rsid w:val="00563B99"/>
    <w:rsid w:val="00573CF7"/>
    <w:rsid w:val="005E3A03"/>
    <w:rsid w:val="005E6D9B"/>
    <w:rsid w:val="00600681"/>
    <w:rsid w:val="00602D92"/>
    <w:rsid w:val="006517B0"/>
    <w:rsid w:val="006B2632"/>
    <w:rsid w:val="006D5D96"/>
    <w:rsid w:val="006F3EA0"/>
    <w:rsid w:val="00726F33"/>
    <w:rsid w:val="0078204F"/>
    <w:rsid w:val="007D3B67"/>
    <w:rsid w:val="007E368A"/>
    <w:rsid w:val="00807BB5"/>
    <w:rsid w:val="00831034"/>
    <w:rsid w:val="0094338B"/>
    <w:rsid w:val="00975AA7"/>
    <w:rsid w:val="009C6F80"/>
    <w:rsid w:val="00A52779"/>
    <w:rsid w:val="00A57B27"/>
    <w:rsid w:val="00A6185D"/>
    <w:rsid w:val="00A820E4"/>
    <w:rsid w:val="00A90128"/>
    <w:rsid w:val="00AB345B"/>
    <w:rsid w:val="00AF0399"/>
    <w:rsid w:val="00B06CA5"/>
    <w:rsid w:val="00B12C68"/>
    <w:rsid w:val="00B42361"/>
    <w:rsid w:val="00B43570"/>
    <w:rsid w:val="00B60BAB"/>
    <w:rsid w:val="00B63B22"/>
    <w:rsid w:val="00B85940"/>
    <w:rsid w:val="00B906DF"/>
    <w:rsid w:val="00B9290C"/>
    <w:rsid w:val="00B951CC"/>
    <w:rsid w:val="00BA7835"/>
    <w:rsid w:val="00BC792B"/>
    <w:rsid w:val="00C12AE6"/>
    <w:rsid w:val="00C15AF8"/>
    <w:rsid w:val="00C20FBF"/>
    <w:rsid w:val="00C2348B"/>
    <w:rsid w:val="00C34289"/>
    <w:rsid w:val="00C4306B"/>
    <w:rsid w:val="00D26360"/>
    <w:rsid w:val="00D424D9"/>
    <w:rsid w:val="00D62E6F"/>
    <w:rsid w:val="00D6481F"/>
    <w:rsid w:val="00D94857"/>
    <w:rsid w:val="00D95CDD"/>
    <w:rsid w:val="00D96996"/>
    <w:rsid w:val="00DB2D59"/>
    <w:rsid w:val="00DE57DE"/>
    <w:rsid w:val="00E168BF"/>
    <w:rsid w:val="00E23E59"/>
    <w:rsid w:val="00EA03F4"/>
    <w:rsid w:val="00F043D9"/>
    <w:rsid w:val="00F1691C"/>
    <w:rsid w:val="00F66AA0"/>
    <w:rsid w:val="00F8346E"/>
    <w:rsid w:val="00FE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985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link w:val="StandardCar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  <w:style w:type="character" w:customStyle="1" w:styleId="StandardCar">
    <w:name w:val="Standard Car"/>
    <w:basedOn w:val="Policepardfaut"/>
    <w:link w:val="Standard"/>
    <w:rsid w:val="00F043D9"/>
    <w:rPr>
      <w:rFonts w:ascii="Arial" w:eastAsia="Andale Sans UI" w:hAnsi="Arial" w:cs="Tahoma"/>
      <w:kern w:val="3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847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15</cp:revision>
  <dcterms:created xsi:type="dcterms:W3CDTF">2024-12-09T10:16:00Z</dcterms:created>
  <dcterms:modified xsi:type="dcterms:W3CDTF">2025-10-02T10:52:00Z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